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lang w:val="zh-CN"/>
        </w:rPr>
      </w:pPr>
      <w:r>
        <w:rPr>
          <w:rFonts w:hint="eastAsia"/>
          <w:lang w:val="zh-CN"/>
        </w:rPr>
        <w:t>LXSY-15～25系列无线远传冷水水表</w:t>
      </w:r>
    </w:p>
    <w:p>
      <w:pPr>
        <w:pStyle w:val="7"/>
      </w:pPr>
      <w:r>
        <w:rPr>
          <w:rFonts w:hint="eastAsia"/>
        </w:rPr>
        <w:t>使 用 说 明 书</w:t>
      </w:r>
    </w:p>
    <w:p/>
    <w:p/>
    <w:p>
      <w:pPr>
        <w:jc w:val="center"/>
      </w:pPr>
      <w:r>
        <w:drawing>
          <wp:inline distT="0" distB="0" distL="114300" distR="114300">
            <wp:extent cx="2117090" cy="1588135"/>
            <wp:effectExtent l="0" t="0" r="1651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117090" cy="1588135"/>
                    </a:xfrm>
                    <a:prstGeom prst="rect">
                      <a:avLst/>
                    </a:prstGeom>
                    <a:noFill/>
                    <a:ln>
                      <a:noFill/>
                    </a:ln>
                  </pic:spPr>
                </pic:pic>
              </a:graphicData>
            </a:graphic>
          </wp:inline>
        </w:drawing>
      </w:r>
    </w:p>
    <w:p>
      <w:bookmarkStart w:id="0" w:name="_GoBack"/>
      <w:bookmarkEnd w:id="0"/>
    </w:p>
    <w:p>
      <w:pPr>
        <w:rPr>
          <w:b/>
          <w:bCs/>
          <w:sz w:val="21"/>
          <w:szCs w:val="21"/>
        </w:rPr>
      </w:pPr>
      <w:r>
        <w:rPr>
          <w:rFonts w:hint="eastAsia"/>
          <w:b/>
          <w:bCs/>
          <w:sz w:val="21"/>
          <w:szCs w:val="21"/>
        </w:rPr>
        <w:t>一、概述</w:t>
      </w:r>
    </w:p>
    <w:p>
      <w:r>
        <w:rPr>
          <w:rFonts w:hint="eastAsia"/>
        </w:rPr>
        <w:t>LXSY-15～25系列无线远传冷水水表</w:t>
      </w:r>
      <w:r>
        <w:t>是我司</w:t>
      </w:r>
      <w:r>
        <w:rPr>
          <w:rFonts w:hint="eastAsia"/>
        </w:rPr>
        <w:t>最新款NB-IOT通讯的无线远传水表，</w:t>
      </w:r>
      <w:r>
        <w:t>采用</w:t>
      </w:r>
      <w:r>
        <w:rPr>
          <w:rFonts w:hint="eastAsia"/>
        </w:rPr>
        <w:t>脉冲</w:t>
      </w:r>
      <w:r>
        <w:t>水表为计量基础，通过NB-IOT窄带蜂窝物联网进行物联，实现对水表使用水量的自动远程抄表，有效地避免了管理部门上门抄表，使得远程抄表变得更便捷、可靠，在节约人力、物力和财力的同时，有效地提高了生产效益，特别适用于布线困难地广人稀的环境安装</w:t>
      </w:r>
      <w:r>
        <w:rPr>
          <w:rFonts w:hint="eastAsia"/>
        </w:rPr>
        <w:t>。</w:t>
      </w:r>
    </w:p>
    <w:p>
      <w:r>
        <w:rPr>
          <w:rFonts w:hint="eastAsia"/>
        </w:rPr>
        <w:t>LXSY-15～25系列无线远传冷水水表</w:t>
      </w:r>
      <w:r>
        <w:t>，符合GB/T</w:t>
      </w:r>
      <w:r>
        <w:rPr>
          <w:rFonts w:hint="eastAsia"/>
        </w:rPr>
        <w:t xml:space="preserve"> </w:t>
      </w:r>
      <w:r>
        <w:t>778-20</w:t>
      </w:r>
      <w:r>
        <w:rPr>
          <w:rFonts w:hint="eastAsia"/>
          <w:lang w:val="en-US" w:eastAsia="zh-CN"/>
        </w:rPr>
        <w:t>07</w:t>
      </w:r>
      <w:r>
        <w:t>《封闭满管道中水流量的测量 饮用冷水水表和热水水表》和CJ/T224-2012《电子远传水表》的技术要求</w:t>
      </w:r>
      <w:r>
        <w:rPr>
          <w:rFonts w:hint="eastAsia"/>
        </w:rPr>
        <w:t>，符合</w:t>
      </w:r>
      <w:r>
        <w:t>GB4208-2008</w:t>
      </w:r>
      <w:r>
        <w:rPr>
          <w:rFonts w:hint="eastAsia"/>
        </w:rPr>
        <w:t>标准</w:t>
      </w:r>
      <w:r>
        <w:t>规定的</w:t>
      </w:r>
      <w:r>
        <w:rPr>
          <w:rFonts w:hint="eastAsia"/>
        </w:rPr>
        <w:t>外壳</w:t>
      </w:r>
      <w:r>
        <w:t>防护等级。</w:t>
      </w:r>
    </w:p>
    <w:p/>
    <w:p>
      <w:pPr>
        <w:rPr>
          <w:rFonts w:hint="eastAsia"/>
          <w:b/>
          <w:bCs/>
          <w:sz w:val="21"/>
          <w:szCs w:val="21"/>
        </w:rPr>
      </w:pPr>
      <w:r>
        <w:rPr>
          <w:rFonts w:hint="eastAsia"/>
          <w:b/>
          <w:bCs/>
          <w:sz w:val="21"/>
          <w:szCs w:val="21"/>
        </w:rPr>
        <w:t>二、功能特点</w:t>
      </w:r>
    </w:p>
    <w:p>
      <w:r>
        <w:t>1、远程抄读：周期性定时主动上报表计读数。</w:t>
      </w:r>
    </w:p>
    <w:p>
      <w:r>
        <w:t>2、</w:t>
      </w:r>
      <w:r>
        <w:rPr>
          <w:rFonts w:hint="eastAsia"/>
        </w:rPr>
        <w:t>运营级别安全：双向鉴权，空口严格加密。</w:t>
      </w:r>
    </w:p>
    <w:p>
      <w:r>
        <w:t>3、</w:t>
      </w:r>
      <w:r>
        <w:rPr>
          <w:rFonts w:hint="eastAsia"/>
        </w:rPr>
        <w:t>易安装维护：现场安装无需任何采集器不需布线，整表采用机电分离结构，维护简单。</w:t>
      </w:r>
    </w:p>
    <w:p>
      <w:r>
        <w:t>4、</w:t>
      </w:r>
      <w:r>
        <w:rPr>
          <w:rFonts w:hint="eastAsia"/>
        </w:rPr>
        <w:t>低功耗：水表</w:t>
      </w:r>
      <w:r>
        <w:rPr>
          <w:rFonts w:hint="eastAsia"/>
          <w:lang w:eastAsia="zh-CN"/>
        </w:rPr>
        <w:t>使用寿命</w:t>
      </w:r>
      <w:r>
        <w:rPr>
          <w:rFonts w:hint="eastAsia"/>
          <w:lang w:val="en-US" w:eastAsia="zh-CN"/>
        </w:rPr>
        <w:t>6年以上</w:t>
      </w:r>
      <w:r>
        <w:t>（</w:t>
      </w:r>
      <w:r>
        <w:rPr>
          <w:rFonts w:hint="eastAsia"/>
        </w:rPr>
        <w:t>由</w:t>
      </w:r>
      <w:r>
        <w:t>采样频率</w:t>
      </w:r>
      <w:r>
        <w:rPr>
          <w:rFonts w:hint="eastAsia"/>
        </w:rPr>
        <w:t>决定</w:t>
      </w:r>
      <w:r>
        <w:t>具体的使用年限）。</w:t>
      </w:r>
    </w:p>
    <w:p>
      <w:r>
        <w:rPr>
          <w:rFonts w:hint="eastAsia"/>
          <w:lang w:val="en-US" w:eastAsia="zh-CN"/>
        </w:rPr>
        <w:t>5、</w:t>
      </w:r>
      <w:r>
        <w:t>超长寿命电池：</w:t>
      </w:r>
      <w:r>
        <w:rPr>
          <w:rFonts w:hint="eastAsia"/>
          <w:lang w:eastAsia="zh-CN"/>
        </w:rPr>
        <w:t>标准工作条件下，</w:t>
      </w:r>
      <w:r>
        <w:t>标准ER26500</w:t>
      </w:r>
      <w:r>
        <w:rPr>
          <w:rFonts w:hint="eastAsia"/>
        </w:rPr>
        <w:t>大容量</w:t>
      </w:r>
      <w:r>
        <w:t>电池供电保证</w:t>
      </w:r>
      <w:r>
        <w:rPr>
          <w:rFonts w:hint="eastAsia"/>
        </w:rPr>
        <w:t>6</w:t>
      </w:r>
      <w:r>
        <w:t>年使用无须更换。</w:t>
      </w:r>
    </w:p>
    <w:p>
      <w:r>
        <w:rPr>
          <w:rFonts w:hint="eastAsia"/>
          <w:lang w:val="en-US" w:eastAsia="zh-CN"/>
        </w:rPr>
        <w:t>6、</w:t>
      </w:r>
      <w:r>
        <w:t>内置</w:t>
      </w:r>
      <w:r>
        <w:rPr>
          <w:rFonts w:hint="eastAsia"/>
        </w:rPr>
        <w:t>高增益天线，</w:t>
      </w:r>
      <w:r>
        <w:t xml:space="preserve">信号稳定可靠，实现全覆盖，无盲区。 </w:t>
      </w:r>
    </w:p>
    <w:p>
      <w:r>
        <w:rPr>
          <w:rFonts w:hint="eastAsia"/>
          <w:lang w:val="en-US" w:eastAsia="zh-CN"/>
        </w:rPr>
        <w:t>7、</w:t>
      </w:r>
      <w:r>
        <w:t>采样准确度高：基于我司</w:t>
      </w:r>
      <w:r>
        <w:rPr>
          <w:rFonts w:hint="eastAsia"/>
        </w:rPr>
        <w:t>隧道传感器脉冲计数</w:t>
      </w:r>
      <w:r>
        <w:t>，读数准确性</w:t>
      </w:r>
      <w:r>
        <w:rPr>
          <w:rFonts w:hint="eastAsia"/>
        </w:rPr>
        <w:t>有保证</w:t>
      </w:r>
      <w:r>
        <w:t>。</w:t>
      </w:r>
    </w:p>
    <w:p>
      <w:r>
        <w:rPr>
          <w:rFonts w:hint="eastAsia"/>
          <w:lang w:val="en-US" w:eastAsia="zh-CN"/>
        </w:rPr>
        <w:t>8、</w:t>
      </w:r>
      <w:r>
        <w:t>上传频率灵活设置：数据上传周期可设置，满足不同用户管理需要。</w:t>
      </w:r>
    </w:p>
    <w:p>
      <w:r>
        <w:rPr>
          <w:rFonts w:hint="eastAsia"/>
          <w:lang w:val="en-US" w:eastAsia="zh-CN"/>
        </w:rPr>
        <w:t>9、</w:t>
      </w:r>
      <w:r>
        <w:t>可更换电池结构设计：电池盒采用独立可更换设计，无须开主体上盖，更换便捷。</w:t>
      </w:r>
    </w:p>
    <w:p>
      <w:r>
        <w:rPr>
          <w:rFonts w:hint="eastAsia"/>
          <w:lang w:val="en-US" w:eastAsia="zh-CN"/>
        </w:rPr>
        <w:t>10、</w:t>
      </w:r>
      <w:r>
        <w:t>系统采用C/S架构：</w:t>
      </w:r>
      <w:r>
        <w:rPr>
          <w:rFonts w:hint="eastAsia"/>
        </w:rPr>
        <w:t>系统</w:t>
      </w:r>
      <w:r>
        <w:t>稳定，安全，可支持在线升级。</w:t>
      </w:r>
    </w:p>
    <w:p/>
    <w:p>
      <w:pPr>
        <w:rPr>
          <w:rFonts w:hint="eastAsia"/>
          <w:b/>
          <w:bCs/>
          <w:sz w:val="21"/>
          <w:szCs w:val="21"/>
        </w:rPr>
      </w:pPr>
      <w:r>
        <w:rPr>
          <w:rFonts w:hint="eastAsia"/>
          <w:b/>
          <w:bCs/>
          <w:sz w:val="21"/>
          <w:szCs w:val="21"/>
        </w:rPr>
        <w:t>三、主要技术参数</w:t>
      </w:r>
    </w:p>
    <w:tbl>
      <w:tblPr>
        <w:tblStyle w:val="8"/>
        <w:tblW w:w="4383" w:type="dxa"/>
        <w:jc w:val="center"/>
        <w:tblInd w:w="353" w:type="dxa"/>
        <w:tblLayout w:type="fixed"/>
        <w:tblCellMar>
          <w:top w:w="0" w:type="dxa"/>
          <w:left w:w="0" w:type="dxa"/>
          <w:bottom w:w="0" w:type="dxa"/>
          <w:right w:w="0" w:type="dxa"/>
        </w:tblCellMar>
      </w:tblPr>
      <w:tblGrid>
        <w:gridCol w:w="1043"/>
        <w:gridCol w:w="1114"/>
        <w:gridCol w:w="1112"/>
        <w:gridCol w:w="1114"/>
      </w:tblGrid>
      <w:tr>
        <w:tblPrEx>
          <w:tblLayout w:type="fixed"/>
          <w:tblCellMar>
            <w:top w:w="0" w:type="dxa"/>
            <w:left w:w="0" w:type="dxa"/>
            <w:bottom w:w="0" w:type="dxa"/>
            <w:right w:w="0" w:type="dxa"/>
          </w:tblCellMar>
        </w:tblPrEx>
        <w:trPr>
          <w:trHeight w:val="369"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项目</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t>参数</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公称口径（</w:t>
            </w:r>
            <w:r>
              <w:rPr>
                <w:rFonts w:hint="eastAsia"/>
                <w:lang w:val="en-US" w:eastAsia="zh-CN"/>
              </w:rPr>
              <w:t>DN</w:t>
            </w:r>
            <w:r>
              <w:t>）</w:t>
            </w:r>
          </w:p>
        </w:tc>
        <w:tc>
          <w:tcPr>
            <w:tcW w:w="1114" w:type="dxa"/>
            <w:tcBorders>
              <w:top w:val="single" w:color="000000" w:sz="6" w:space="0"/>
              <w:left w:val="single" w:color="000000" w:sz="6" w:space="0"/>
              <w:bottom w:val="single" w:color="000000" w:sz="6" w:space="0"/>
              <w:right w:val="single" w:color="000000" w:sz="6" w:space="0"/>
            </w:tcBorders>
            <w:vAlign w:val="center"/>
          </w:tcPr>
          <w:p>
            <w:r>
              <w:t>15</w:t>
            </w:r>
          </w:p>
        </w:tc>
        <w:tc>
          <w:tcPr>
            <w:tcW w:w="1112" w:type="dxa"/>
            <w:tcBorders>
              <w:top w:val="single" w:color="000000" w:sz="6" w:space="0"/>
              <w:left w:val="single" w:color="000000" w:sz="6" w:space="0"/>
              <w:bottom w:val="single" w:color="000000" w:sz="6" w:space="0"/>
              <w:right w:val="single" w:color="000000" w:sz="6" w:space="0"/>
            </w:tcBorders>
            <w:vAlign w:val="center"/>
          </w:tcPr>
          <w:p>
            <w:r>
              <w:t>20</w:t>
            </w:r>
          </w:p>
        </w:tc>
        <w:tc>
          <w:tcPr>
            <w:tcW w:w="1114" w:type="dxa"/>
            <w:tcBorders>
              <w:top w:val="single" w:color="000000" w:sz="6" w:space="0"/>
              <w:left w:val="single" w:color="000000" w:sz="6" w:space="0"/>
              <w:bottom w:val="single" w:color="000000" w:sz="6" w:space="0"/>
              <w:right w:val="single" w:color="000000" w:sz="6" w:space="0"/>
            </w:tcBorders>
            <w:vAlign w:val="center"/>
          </w:tcPr>
          <w:p>
            <w:r>
              <w:t>25</w:t>
            </w:r>
          </w:p>
        </w:tc>
      </w:tr>
      <w:tr>
        <w:tblPrEx>
          <w:tblLayout w:type="fixed"/>
          <w:tblCellMar>
            <w:top w:w="0" w:type="dxa"/>
            <w:left w:w="0" w:type="dxa"/>
            <w:bottom w:w="0" w:type="dxa"/>
            <w:right w:w="0" w:type="dxa"/>
          </w:tblCellMar>
        </w:tblPrEx>
        <w:trPr>
          <w:trHeight w:val="543"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常用流量Q3（m</w:t>
            </w:r>
            <w:r>
              <w:rPr>
                <w:rFonts w:hint="eastAsia"/>
              </w:rPr>
              <w:t>3</w:t>
            </w:r>
            <w:r>
              <w:t xml:space="preserve"> /h）</w:t>
            </w:r>
          </w:p>
        </w:tc>
        <w:tc>
          <w:tcPr>
            <w:tcW w:w="1114" w:type="dxa"/>
            <w:tcBorders>
              <w:top w:val="single" w:color="000000" w:sz="6" w:space="0"/>
              <w:left w:val="single" w:color="000000" w:sz="6" w:space="0"/>
              <w:bottom w:val="single" w:color="000000" w:sz="6" w:space="0"/>
              <w:right w:val="single" w:color="000000" w:sz="6" w:space="0"/>
            </w:tcBorders>
            <w:vAlign w:val="center"/>
          </w:tcPr>
          <w:p>
            <w:r>
              <w:t>2.5</w:t>
            </w:r>
          </w:p>
        </w:tc>
        <w:tc>
          <w:tcPr>
            <w:tcW w:w="1112" w:type="dxa"/>
            <w:tcBorders>
              <w:top w:val="single" w:color="000000" w:sz="6" w:space="0"/>
              <w:left w:val="single" w:color="000000" w:sz="6" w:space="0"/>
              <w:bottom w:val="single" w:color="000000" w:sz="6" w:space="0"/>
              <w:right w:val="single" w:color="000000" w:sz="6" w:space="0"/>
            </w:tcBorders>
            <w:vAlign w:val="center"/>
          </w:tcPr>
          <w:p>
            <w:r>
              <w:t>4.0</w:t>
            </w:r>
          </w:p>
        </w:tc>
        <w:tc>
          <w:tcPr>
            <w:tcW w:w="1114" w:type="dxa"/>
            <w:tcBorders>
              <w:top w:val="single" w:color="000000" w:sz="6" w:space="0"/>
              <w:left w:val="single" w:color="000000" w:sz="6" w:space="0"/>
              <w:bottom w:val="single" w:color="000000" w:sz="6" w:space="0"/>
              <w:right w:val="single" w:color="000000" w:sz="6" w:space="0"/>
            </w:tcBorders>
            <w:vAlign w:val="center"/>
          </w:tcPr>
          <w:p>
            <w:r>
              <w:t>6.3</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长度（mm）</w:t>
            </w:r>
          </w:p>
        </w:tc>
        <w:tc>
          <w:tcPr>
            <w:tcW w:w="1114" w:type="dxa"/>
            <w:tcBorders>
              <w:top w:val="single" w:color="000000" w:sz="6" w:space="0"/>
              <w:left w:val="single" w:color="000000" w:sz="6" w:space="0"/>
              <w:bottom w:val="single" w:color="000000" w:sz="6" w:space="0"/>
              <w:right w:val="single" w:color="000000" w:sz="6" w:space="0"/>
            </w:tcBorders>
            <w:vAlign w:val="center"/>
          </w:tcPr>
          <w:p>
            <w:r>
              <w:t>165</w:t>
            </w:r>
          </w:p>
        </w:tc>
        <w:tc>
          <w:tcPr>
            <w:tcW w:w="1112" w:type="dxa"/>
            <w:tcBorders>
              <w:top w:val="single" w:color="000000" w:sz="6" w:space="0"/>
              <w:left w:val="single" w:color="000000" w:sz="6" w:space="0"/>
              <w:bottom w:val="single" w:color="000000" w:sz="6" w:space="0"/>
              <w:right w:val="single" w:color="000000" w:sz="6" w:space="0"/>
            </w:tcBorders>
            <w:vAlign w:val="center"/>
          </w:tcPr>
          <w:p>
            <w:r>
              <w:t>195</w:t>
            </w:r>
          </w:p>
        </w:tc>
        <w:tc>
          <w:tcPr>
            <w:tcW w:w="1114" w:type="dxa"/>
            <w:tcBorders>
              <w:top w:val="single" w:color="000000" w:sz="6" w:space="0"/>
              <w:left w:val="single" w:color="000000" w:sz="6" w:space="0"/>
              <w:bottom w:val="single" w:color="000000" w:sz="6" w:space="0"/>
              <w:right w:val="single" w:color="000000" w:sz="6" w:space="0"/>
            </w:tcBorders>
            <w:vAlign w:val="center"/>
          </w:tcPr>
          <w:p>
            <w:r>
              <w:t>225</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量程比 Q3/Q1</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t>80,100</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温度等级</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t>T30</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压力等级</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t>MAP10</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压力损失等级</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t>Δ</w:t>
            </w:r>
            <w:r>
              <w:rPr>
                <w:rFonts w:hint="eastAsia"/>
              </w:rPr>
              <w:t>P</w:t>
            </w:r>
            <w:r>
              <w:t>63</w:t>
            </w:r>
          </w:p>
        </w:tc>
      </w:tr>
      <w:tr>
        <w:tblPrEx>
          <w:tblLayout w:type="fixed"/>
          <w:tblCellMar>
            <w:top w:w="0" w:type="dxa"/>
            <w:left w:w="0" w:type="dxa"/>
            <w:bottom w:w="0" w:type="dxa"/>
            <w:right w:w="0" w:type="dxa"/>
          </w:tblCellMar>
        </w:tblPrEx>
        <w:trPr>
          <w:trHeight w:val="53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rPr>
                <w:rFonts w:hint="eastAsia"/>
              </w:rPr>
              <w:t>流场敏感度等级</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t>U10/D5</w:t>
            </w:r>
          </w:p>
        </w:tc>
      </w:tr>
      <w:tr>
        <w:tblPrEx>
          <w:tblLayout w:type="fixed"/>
          <w:tblCellMar>
            <w:top w:w="0" w:type="dxa"/>
            <w:left w:w="0" w:type="dxa"/>
            <w:bottom w:w="0" w:type="dxa"/>
            <w:right w:w="0" w:type="dxa"/>
          </w:tblCellMar>
        </w:tblPrEx>
        <w:trPr>
          <w:trHeight w:val="640"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气候及电磁环境等级</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t>E1，B</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工作环境</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t>环境温度：</w:t>
            </w:r>
            <w:r>
              <w:rPr>
                <w:rFonts w:hint="eastAsia"/>
              </w:rPr>
              <w:t>5℃～55℃</w:t>
            </w:r>
            <w:r>
              <w:t>；湿度：</w:t>
            </w:r>
            <w:r>
              <w:rPr>
                <w:rFonts w:hint="eastAsia"/>
              </w:rPr>
              <w:t>≥</w:t>
            </w:r>
            <w:r>
              <w:t xml:space="preserve"> 93%  </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安装方式</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t>水平</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供电电压</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rPr>
                <w:rFonts w:hint="eastAsia"/>
              </w:rPr>
              <w:t>DC：</w:t>
            </w:r>
            <w:r>
              <w:t>3</w:t>
            </w:r>
            <w:r>
              <w:rPr>
                <w:rFonts w:hint="eastAsia"/>
              </w:rPr>
              <w:t>.</w:t>
            </w:r>
            <w:r>
              <w:t>6V</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t>静态电流</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rPr>
                <w:rFonts w:hint="eastAsia"/>
              </w:rPr>
              <w:t>≤15uA</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rPr>
                <w:rFonts w:hint="eastAsia"/>
              </w:rPr>
              <w:t>防护等级</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rPr>
                <w:rFonts w:hint="eastAsia"/>
              </w:rPr>
              <w:t>IP65</w:t>
            </w:r>
          </w:p>
        </w:tc>
      </w:tr>
      <w:tr>
        <w:tblPrEx>
          <w:tblLayout w:type="fixed"/>
          <w:tblCellMar>
            <w:top w:w="0" w:type="dxa"/>
            <w:left w:w="0" w:type="dxa"/>
            <w:bottom w:w="0" w:type="dxa"/>
            <w:right w:w="0" w:type="dxa"/>
          </w:tblCellMar>
        </w:tblPrEx>
        <w:trPr>
          <w:trHeight w:val="448"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rPr>
                <w:rFonts w:hint="eastAsia"/>
              </w:rPr>
              <w:t>工作寿命</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rPr>
                <w:rFonts w:hint="eastAsia"/>
                <w:lang w:eastAsia="zh-CN"/>
              </w:rPr>
              <w:t>≥</w:t>
            </w:r>
            <w:r>
              <w:rPr>
                <w:rFonts w:hint="eastAsia"/>
                <w:lang w:val="en-US" w:eastAsia="zh-CN"/>
              </w:rPr>
              <w:t>6</w:t>
            </w:r>
            <w:r>
              <w:rPr>
                <w:rFonts w:hint="eastAsia"/>
              </w:rPr>
              <w:t>年</w:t>
            </w:r>
          </w:p>
        </w:tc>
      </w:tr>
      <w:tr>
        <w:tblPrEx>
          <w:tblLayout w:type="fixed"/>
          <w:tblCellMar>
            <w:top w:w="0" w:type="dxa"/>
            <w:left w:w="0" w:type="dxa"/>
            <w:bottom w:w="0" w:type="dxa"/>
            <w:right w:w="0" w:type="dxa"/>
          </w:tblCellMar>
        </w:tblPrEx>
        <w:trPr>
          <w:trHeight w:val="623" w:hRule="exact"/>
          <w:jc w:val="center"/>
        </w:trPr>
        <w:tc>
          <w:tcPr>
            <w:tcW w:w="1043" w:type="dxa"/>
            <w:tcBorders>
              <w:top w:val="single" w:color="000000" w:sz="6" w:space="0"/>
              <w:left w:val="single" w:color="000000" w:sz="6" w:space="0"/>
              <w:bottom w:val="single" w:color="000000" w:sz="6" w:space="0"/>
              <w:right w:val="single" w:color="000000" w:sz="6" w:space="0"/>
            </w:tcBorders>
            <w:vAlign w:val="center"/>
          </w:tcPr>
          <w:p>
            <w:r>
              <w:rPr>
                <w:rFonts w:hint="eastAsia"/>
              </w:rPr>
              <w:t>通讯参数</w:t>
            </w:r>
          </w:p>
        </w:tc>
        <w:tc>
          <w:tcPr>
            <w:tcW w:w="3340" w:type="dxa"/>
            <w:gridSpan w:val="3"/>
            <w:tcBorders>
              <w:top w:val="single" w:color="000000" w:sz="6" w:space="0"/>
              <w:left w:val="single" w:color="000000" w:sz="6" w:space="0"/>
              <w:bottom w:val="single" w:color="000000" w:sz="6" w:space="0"/>
              <w:right w:val="single" w:color="000000" w:sz="6" w:space="0"/>
            </w:tcBorders>
            <w:vAlign w:val="center"/>
          </w:tcPr>
          <w:p>
            <w:r>
              <w:rPr>
                <w:rFonts w:hint="eastAsia"/>
              </w:rPr>
              <w:t>通讯方式：NB-IOT</w:t>
            </w:r>
            <w:r>
              <w:rPr>
                <w:rFonts w:hint="eastAsia"/>
                <w:lang w:eastAsia="zh-CN"/>
              </w:rPr>
              <w:t>，</w:t>
            </w:r>
            <w:r>
              <w:rPr>
                <w:rFonts w:hint="eastAsia"/>
              </w:rPr>
              <w:t>工作频率：850MHz、发射功率：23dBm、灵敏度：-129dBm</w:t>
            </w:r>
          </w:p>
          <w:p/>
        </w:tc>
      </w:tr>
    </w:tbl>
    <w:p/>
    <w:p/>
    <w:p>
      <w:pPr>
        <w:numPr>
          <w:ilvl w:val="0"/>
          <w:numId w:val="1"/>
        </w:numPr>
        <w:rPr>
          <w:rFonts w:hint="eastAsia"/>
          <w:b/>
          <w:bCs/>
          <w:sz w:val="21"/>
          <w:szCs w:val="21"/>
        </w:rPr>
      </w:pPr>
      <w:r>
        <w:rPr>
          <w:rFonts w:hint="eastAsia"/>
          <w:b/>
          <w:bCs/>
          <w:sz w:val="21"/>
          <w:szCs w:val="21"/>
        </w:rPr>
        <w:t>安装尺寸</w:t>
      </w:r>
    </w:p>
    <w:tbl>
      <w:tblPr>
        <w:tblStyle w:val="9"/>
        <w:tblpPr w:leftFromText="180" w:rightFromText="180" w:vertAnchor="text" w:horzAnchor="page" w:tblpX="11172" w:tblpY="255"/>
        <w:tblOverlap w:val="never"/>
        <w:tblW w:w="4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617"/>
        <w:gridCol w:w="636"/>
        <w:gridCol w:w="64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3" w:type="dxa"/>
            <w:vMerge w:val="restart"/>
          </w:tcPr>
          <w:p>
            <w:pPr>
              <w:rPr>
                <w:rFonts w:hint="eastAsia" w:eastAsiaTheme="minorEastAsia"/>
                <w:lang w:eastAsia="zh-CN"/>
              </w:rPr>
            </w:pPr>
            <w:r>
              <w:rPr>
                <w:rFonts w:hint="eastAsia"/>
              </w:rPr>
              <w:t>公称口</w:t>
            </w:r>
            <w:r>
              <w:rPr>
                <w:rFonts w:hint="eastAsia"/>
                <w:lang w:eastAsia="zh-CN"/>
              </w:rPr>
              <w:t>径</w:t>
            </w:r>
            <w:r>
              <w:rPr>
                <w:rFonts w:hint="eastAsia"/>
                <w:lang w:val="en-US" w:eastAsia="zh-CN"/>
              </w:rPr>
              <w:t>(</w:t>
            </w:r>
            <w:r>
              <w:rPr>
                <w:rFonts w:hint="eastAsia"/>
              </w:rPr>
              <w:t>DN</w:t>
            </w:r>
            <w:r>
              <w:rPr>
                <w:rFonts w:hint="eastAsia"/>
                <w:lang w:eastAsia="zh-CN"/>
              </w:rPr>
              <w:t>）</w:t>
            </w:r>
          </w:p>
        </w:tc>
        <w:tc>
          <w:tcPr>
            <w:tcW w:w="617" w:type="dxa"/>
          </w:tcPr>
          <w:p>
            <w:r>
              <w:rPr>
                <w:rFonts w:hint="eastAsia"/>
              </w:rPr>
              <w:t>长度L</w:t>
            </w:r>
          </w:p>
        </w:tc>
        <w:tc>
          <w:tcPr>
            <w:tcW w:w="636" w:type="dxa"/>
          </w:tcPr>
          <w:p>
            <w:r>
              <w:rPr>
                <w:rFonts w:hint="eastAsia"/>
              </w:rPr>
              <w:t>宽度B</w:t>
            </w:r>
          </w:p>
        </w:tc>
        <w:tc>
          <w:tcPr>
            <w:tcW w:w="647" w:type="dxa"/>
          </w:tcPr>
          <w:p>
            <w:r>
              <w:rPr>
                <w:rFonts w:hint="eastAsia"/>
              </w:rPr>
              <w:t>高度H</w:t>
            </w:r>
          </w:p>
        </w:tc>
        <w:tc>
          <w:tcPr>
            <w:tcW w:w="816" w:type="dxa"/>
            <w:vAlign w:val="center"/>
          </w:tcPr>
          <w:p>
            <w:r>
              <w:rPr>
                <w:rFonts w:hint="eastAsia"/>
              </w:rPr>
              <w:t>连接螺纹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3" w:type="dxa"/>
            <w:vMerge w:val="continue"/>
          </w:tcPr>
          <w:p/>
        </w:tc>
        <w:tc>
          <w:tcPr>
            <w:tcW w:w="2716" w:type="dxa"/>
            <w:gridSpan w:val="4"/>
          </w:tcPr>
          <w:p>
            <w:pPr>
              <w:jc w:val="center"/>
            </w:pP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83" w:type="dxa"/>
            <w:vAlign w:val="center"/>
          </w:tcPr>
          <w:p>
            <w:r>
              <w:rPr>
                <w:rFonts w:hint="eastAsia"/>
              </w:rPr>
              <w:t>15</w:t>
            </w:r>
          </w:p>
        </w:tc>
        <w:tc>
          <w:tcPr>
            <w:tcW w:w="617" w:type="dxa"/>
            <w:vAlign w:val="center"/>
          </w:tcPr>
          <w:p>
            <w:r>
              <w:rPr>
                <w:rFonts w:hint="eastAsia"/>
              </w:rPr>
              <w:t>165</w:t>
            </w:r>
          </w:p>
        </w:tc>
        <w:tc>
          <w:tcPr>
            <w:tcW w:w="636" w:type="dxa"/>
            <w:vAlign w:val="center"/>
          </w:tcPr>
          <w:p>
            <w:r>
              <w:rPr>
                <w:rFonts w:hint="eastAsia"/>
              </w:rPr>
              <w:t>89</w:t>
            </w:r>
          </w:p>
        </w:tc>
        <w:tc>
          <w:tcPr>
            <w:tcW w:w="647" w:type="dxa"/>
            <w:vAlign w:val="center"/>
          </w:tcPr>
          <w:p>
            <w:r>
              <w:rPr>
                <w:rFonts w:hint="eastAsia"/>
              </w:rPr>
              <w:t>149.4</w:t>
            </w:r>
          </w:p>
        </w:tc>
        <w:tc>
          <w:tcPr>
            <w:tcW w:w="816" w:type="dxa"/>
            <w:vAlign w:val="center"/>
          </w:tcPr>
          <w:p>
            <w:r>
              <w:rPr>
                <w:rFonts w:hint="eastAsia"/>
              </w:rPr>
              <w:t>G3/4B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583" w:type="dxa"/>
            <w:vAlign w:val="center"/>
          </w:tcPr>
          <w:p>
            <w:r>
              <w:rPr>
                <w:rFonts w:hint="eastAsia"/>
              </w:rPr>
              <w:t>20</w:t>
            </w:r>
          </w:p>
        </w:tc>
        <w:tc>
          <w:tcPr>
            <w:tcW w:w="617" w:type="dxa"/>
            <w:vAlign w:val="center"/>
          </w:tcPr>
          <w:p>
            <w:r>
              <w:rPr>
                <w:rFonts w:hint="eastAsia"/>
              </w:rPr>
              <w:t>195</w:t>
            </w:r>
          </w:p>
        </w:tc>
        <w:tc>
          <w:tcPr>
            <w:tcW w:w="636" w:type="dxa"/>
            <w:vAlign w:val="center"/>
          </w:tcPr>
          <w:p>
            <w:r>
              <w:rPr>
                <w:rFonts w:hint="eastAsia"/>
              </w:rPr>
              <w:t>89</w:t>
            </w:r>
          </w:p>
        </w:tc>
        <w:tc>
          <w:tcPr>
            <w:tcW w:w="647" w:type="dxa"/>
            <w:vAlign w:val="center"/>
          </w:tcPr>
          <w:p>
            <w:r>
              <w:rPr>
                <w:rFonts w:hint="eastAsia"/>
              </w:rPr>
              <w:t>149.4</w:t>
            </w:r>
          </w:p>
        </w:tc>
        <w:tc>
          <w:tcPr>
            <w:tcW w:w="816" w:type="dxa"/>
            <w:vAlign w:val="center"/>
          </w:tcPr>
          <w:p>
            <w:r>
              <w:rPr>
                <w:rFonts w:hint="eastAsia"/>
              </w:rPr>
              <w:t>G1B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3" w:type="dxa"/>
            <w:vAlign w:val="center"/>
          </w:tcPr>
          <w:p>
            <w:r>
              <w:rPr>
                <w:rFonts w:hint="eastAsia"/>
              </w:rPr>
              <w:t>25</w:t>
            </w:r>
          </w:p>
        </w:tc>
        <w:tc>
          <w:tcPr>
            <w:tcW w:w="617" w:type="dxa"/>
            <w:vAlign w:val="center"/>
          </w:tcPr>
          <w:p>
            <w:r>
              <w:rPr>
                <w:rFonts w:hint="eastAsia"/>
              </w:rPr>
              <w:t>225</w:t>
            </w:r>
          </w:p>
        </w:tc>
        <w:tc>
          <w:tcPr>
            <w:tcW w:w="636" w:type="dxa"/>
            <w:vAlign w:val="center"/>
          </w:tcPr>
          <w:p>
            <w:r>
              <w:rPr>
                <w:rFonts w:hint="eastAsia"/>
              </w:rPr>
              <w:t>89</w:t>
            </w:r>
          </w:p>
        </w:tc>
        <w:tc>
          <w:tcPr>
            <w:tcW w:w="647" w:type="dxa"/>
            <w:vAlign w:val="center"/>
          </w:tcPr>
          <w:p>
            <w:r>
              <w:rPr>
                <w:rFonts w:hint="eastAsia"/>
              </w:rPr>
              <w:t>149.4</w:t>
            </w:r>
          </w:p>
        </w:tc>
        <w:tc>
          <w:tcPr>
            <w:tcW w:w="816" w:type="dxa"/>
            <w:vAlign w:val="center"/>
          </w:tcPr>
          <w:p>
            <w:r>
              <w:rPr>
                <w:rFonts w:hint="eastAsia"/>
              </w:rPr>
              <w:t>G11/4B</w:t>
            </w:r>
          </w:p>
        </w:tc>
      </w:tr>
    </w:tbl>
    <w:p/>
    <w:p/>
    <w:p/>
    <w:p/>
    <w:p/>
    <w:p/>
    <w:p>
      <w:r>
        <w:drawing>
          <wp:inline distT="0" distB="0" distL="114300" distR="114300">
            <wp:extent cx="3228975" cy="862330"/>
            <wp:effectExtent l="0" t="0" r="952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228975" cy="862330"/>
                    </a:xfrm>
                    <a:prstGeom prst="rect">
                      <a:avLst/>
                    </a:prstGeom>
                    <a:noFill/>
                    <a:ln w="9525">
                      <a:noFill/>
                    </a:ln>
                  </pic:spPr>
                </pic:pic>
              </a:graphicData>
            </a:graphic>
          </wp:inline>
        </w:drawing>
      </w:r>
    </w:p>
    <w:p/>
    <w:p/>
    <w:p/>
    <w:p/>
    <w:p>
      <w:pPr>
        <w:rPr>
          <w:rFonts w:hint="eastAsia"/>
        </w:rPr>
      </w:pPr>
    </w:p>
    <w:p>
      <w:pPr>
        <w:rPr>
          <w:rFonts w:hint="eastAsia"/>
          <w:b/>
          <w:bCs/>
          <w:sz w:val="21"/>
          <w:szCs w:val="21"/>
        </w:rPr>
      </w:pPr>
      <w:r>
        <w:rPr>
          <w:rFonts w:hint="eastAsia"/>
          <w:b/>
          <w:bCs/>
          <w:sz w:val="21"/>
          <w:szCs w:val="21"/>
        </w:rPr>
        <w:t>五、安装与使用</w:t>
      </w:r>
    </w:p>
    <w:p>
      <w:r>
        <w:t>1)</w:t>
      </w:r>
      <w:r>
        <w:rPr>
          <w:rFonts w:hint="eastAsia"/>
        </w:rPr>
        <w:t xml:space="preserve"> </w:t>
      </w:r>
      <w:r>
        <w:t>选择水表口径，应根据用水量的大小以接近常用流量为宜，不能单纯以管道口径确定水表。工作条件: a)流量范围 Q1～Q4</w:t>
      </w:r>
      <w:r>
        <w:rPr>
          <w:rFonts w:hint="eastAsia"/>
        </w:rPr>
        <w:t>；</w:t>
      </w:r>
      <w:r>
        <w:t>b)环境温度:</w:t>
      </w:r>
      <w:r>
        <w:rPr>
          <w:rFonts w:hint="eastAsia"/>
        </w:rPr>
        <w:t>5℃</w:t>
      </w:r>
      <w:r>
        <w:t>～</w:t>
      </w:r>
      <w:r>
        <w:rPr>
          <w:rFonts w:hint="eastAsia"/>
        </w:rPr>
        <w:t>55℃；</w:t>
      </w:r>
      <w:r>
        <w:t>c)计量介质温度：0.1</w:t>
      </w:r>
      <w:r>
        <w:rPr>
          <w:rFonts w:hint="eastAsia"/>
        </w:rPr>
        <w:t>℃</w:t>
      </w:r>
      <w:r>
        <w:t>～30</w:t>
      </w:r>
      <w:r>
        <w:rPr>
          <w:rFonts w:hint="eastAsia"/>
        </w:rPr>
        <w:t>℃；</w:t>
      </w:r>
      <w:r>
        <w:t>d)水压:0.03MPa～1.0MPa</w:t>
      </w:r>
      <w:r>
        <w:rPr>
          <w:rFonts w:hint="eastAsia"/>
        </w:rPr>
        <w:t>；</w:t>
      </w:r>
      <w:r>
        <w:t>d）水表禁止通入带有腐蚀性 的液体。</w:t>
      </w:r>
    </w:p>
    <w:p>
      <w:r>
        <w:t>2)</w:t>
      </w:r>
      <w:r>
        <w:rPr>
          <w:rFonts w:hint="eastAsia"/>
        </w:rPr>
        <w:t xml:space="preserve"> </w:t>
      </w:r>
      <w:r>
        <w:t>水表应避免曝晒、冰冻、污染和水淹，且安装位置应方便拆装。在有冰冻期间， 应将水表和水管保温材料包扎，同时将进水端阀门关闭，出水端阀门和水龙头打开，这样可防止水表因冰冻膨胀而损坏。</w:t>
      </w:r>
    </w:p>
    <w:p>
      <w:r>
        <w:t>3)</w:t>
      </w:r>
      <w:r>
        <w:rPr>
          <w:rFonts w:hint="eastAsia"/>
        </w:rPr>
        <w:t xml:space="preserve"> </w:t>
      </w:r>
      <w:r>
        <w:t>应根据水表标示进行安装（“H”为水平安装，“V”为垂直安装），且表壳箭头与 管道水流方向一致。水表上游端应安装控制阀，便于水表维修。</w:t>
      </w:r>
    </w:p>
    <w:p>
      <w:r>
        <w:t>4)</w:t>
      </w:r>
      <w:r>
        <w:rPr>
          <w:rFonts w:hint="eastAsia"/>
        </w:rPr>
        <w:t xml:space="preserve"> </w:t>
      </w:r>
      <w:r>
        <w:t>水表不应直接与管道连接，水表与管道间应有活动接口（如管接头、螺母、密封垫圈等)。安装水表时,不应受由管子和管件引起的过度应力，以免损坏水表。</w:t>
      </w:r>
    </w:p>
    <w:p>
      <w:r>
        <w:t>5)</w:t>
      </w:r>
      <w:r>
        <w:rPr>
          <w:rFonts w:hint="eastAsia"/>
        </w:rPr>
        <w:t xml:space="preserve"> </w:t>
      </w:r>
      <w:r>
        <w:t>水表不使用时，电子叶轮如有微小转动，是由于管道中的水压不够稳定或其它原因引起的，建议在水表不使用时关闭水表上游的控制阀门以及在水表进水端装止回阀。</w:t>
      </w:r>
    </w:p>
    <w:p>
      <w:r>
        <w:t>6)</w:t>
      </w:r>
      <w:r>
        <w:rPr>
          <w:rFonts w:hint="eastAsia"/>
        </w:rPr>
        <w:t xml:space="preserve"> </w:t>
      </w:r>
      <w:r>
        <w:t>安装具有节水功能的水表时，在进水口一定要用配套专用管接头，以减少水压波动引起的水表自转现象。</w:t>
      </w:r>
    </w:p>
    <w:p>
      <w:r>
        <w:t>7)</w:t>
      </w:r>
      <w:r>
        <w:rPr>
          <w:rFonts w:hint="eastAsia"/>
        </w:rPr>
        <w:t xml:space="preserve"> </w:t>
      </w:r>
      <w:r>
        <w:t>新装管道务必将管道内沙子、泥沙、麻丝等杂物冲洗干净后方可装表，以免成水表故障。水表安装时，注意水表的连接长度，当两端管路间距超过水表连接长度时，应修正管路间距，满足水表连接长度，否则间距过大强行安装将造成水表连接螺纹端断裂或管接头断裂以及连接螺母的损坏；若水表的两端管路不在同一轴线上，应通过其它途径来修正使之与管路在同一轴线上。</w:t>
      </w:r>
    </w:p>
    <w:p>
      <w:r>
        <w:t>8)</w:t>
      </w:r>
      <w:r>
        <w:rPr>
          <w:rFonts w:hint="eastAsia"/>
        </w:rPr>
        <w:t xml:space="preserve"> </w:t>
      </w:r>
      <w:r>
        <w:t>为计量准确，水龙头应高于水表。</w:t>
      </w:r>
    </w:p>
    <w:p>
      <w:r>
        <w:t>9)</w:t>
      </w:r>
      <w:r>
        <w:rPr>
          <w:rFonts w:hint="eastAsia"/>
        </w:rPr>
        <w:t xml:space="preserve"> </w:t>
      </w:r>
      <w:r>
        <w:t>为保证计量精度，表前应保10D（D为管道口径）以上直管段，表后应保留</w:t>
      </w:r>
    </w:p>
    <w:p>
      <w:r>
        <w:t>5D以上直管段，同时尽量避免弯头、三通、锥管、泵的干扰。若进水口管道有缩径管时，表前直管段在15D以上；进水口管道有90</w:t>
      </w:r>
      <w:r>
        <w:rPr>
          <w:rFonts w:hint="eastAsia"/>
          <w:lang w:val="en-US" w:eastAsia="zh-CN"/>
        </w:rPr>
        <w:t>°</w:t>
      </w:r>
      <w:r>
        <w:t>弯头时，表前直管段在20D以上；进水口管道有半开的阀门时，表前直管段在 50D以上。</w:t>
      </w:r>
    </w:p>
    <w:p>
      <w:r>
        <w:t>10) 为使水表能长期正常工作，水表内应始终充满水。如果空气有可能进入水表， 应在水表上游安装放气阀。</w:t>
      </w:r>
    </w:p>
    <w:p>
      <w:r>
        <w:t>11) 应防止安装场所周围环境的冲击或振动导致水表损坏，还应避免水表承受由管 道和管件造成的过度应力，必要时须将水表安装在底座或托架上。</w:t>
      </w:r>
    </w:p>
    <w:p>
      <w:r>
        <w:t>12)</w:t>
      </w:r>
      <w:r>
        <w:rPr>
          <w:rFonts w:hint="eastAsia"/>
        </w:rPr>
        <w:t xml:space="preserve"> </w:t>
      </w:r>
      <w:r>
        <w:t>应采取措施防止不利的水力条件（空化、浪涌、水锤）</w:t>
      </w:r>
      <w:r>
        <w:rPr>
          <w:rFonts w:hint="eastAsia"/>
        </w:rPr>
        <w:t>。</w:t>
      </w:r>
    </w:p>
    <w:p>
      <w:r>
        <w:t>13) 上下游水管应适当固定，以保证在拆除水表或断开一侧连接时，任何部分都不 会因水的推力而移位。</w:t>
      </w:r>
    </w:p>
    <w:p>
      <w:pPr>
        <w:rPr>
          <w:rFonts w:hint="eastAsia"/>
        </w:rPr>
      </w:pPr>
      <w:r>
        <w:t>14)</w:t>
      </w:r>
      <w:r>
        <w:rPr>
          <w:rFonts w:hint="eastAsia"/>
        </w:rPr>
        <w:t xml:space="preserve"> </w:t>
      </w:r>
      <w:r>
        <w:t>由于未严格按照安装注意事项进行安装，造成水表或其配件的损坏，一切损失</w:t>
      </w:r>
      <w:r>
        <w:rPr>
          <w:rFonts w:hint="eastAsia"/>
        </w:rPr>
        <w:t>由安装者自负。</w:t>
      </w:r>
    </w:p>
    <w:p>
      <w:pPr>
        <w:rPr>
          <w:rFonts w:hint="eastAsia"/>
        </w:rPr>
      </w:pPr>
    </w:p>
    <w:p>
      <w:pPr>
        <w:rPr>
          <w:rFonts w:hint="eastAsia"/>
          <w:b/>
          <w:bCs/>
          <w:sz w:val="21"/>
          <w:szCs w:val="21"/>
        </w:rPr>
      </w:pPr>
      <w:r>
        <w:rPr>
          <w:rFonts w:hint="eastAsia"/>
          <w:b/>
          <w:bCs/>
          <w:sz w:val="21"/>
          <w:szCs w:val="21"/>
        </w:rPr>
        <w:t>六、运输存储</w:t>
      </w:r>
    </w:p>
    <w:p>
      <w:r>
        <w:t xml:space="preserve">1) </w:t>
      </w:r>
      <w:r>
        <w:tab/>
      </w:r>
      <w:r>
        <w:t>水表运输和拆封不应受到剧烈冲击，应根据 GB/T 13384-2008《机电产品包装通用技术条件》的规定运输和储存。水表按规定装入箱后，可用无强烈震动交通工具运输</w:t>
      </w:r>
      <w:r>
        <w:rPr>
          <w:rFonts w:hint="eastAsia"/>
        </w:rPr>
        <w:t>；</w:t>
      </w:r>
      <w:r>
        <w:t>运输途中不应受雨、霜、雾直接影响，按标志向上放置并不受挤压撞击等损伤。</w:t>
      </w:r>
    </w:p>
    <w:p>
      <w:r>
        <w:t xml:space="preserve">2) </w:t>
      </w:r>
      <w:r>
        <w:tab/>
      </w:r>
      <w:r>
        <w:t>水表应贮存在干燥、通风好，且在空气中不含有腐蚀性介质的场所。保存在原包装内，保存地环境温度</w:t>
      </w:r>
      <w:r>
        <w:rPr>
          <w:rFonts w:hint="eastAsia"/>
        </w:rPr>
        <w:t>：</w:t>
      </w:r>
      <w:r>
        <w:t xml:space="preserve"> </w:t>
      </w:r>
      <w:r>
        <w:rPr>
          <w:rFonts w:hint="eastAsia"/>
        </w:rPr>
        <w:t>5℃</w:t>
      </w:r>
      <w:r>
        <w:t>～</w:t>
      </w:r>
      <w:r>
        <w:rPr>
          <w:rFonts w:hint="eastAsia"/>
        </w:rPr>
        <w:t>55℃</w:t>
      </w:r>
      <w:r>
        <w:t>，</w:t>
      </w:r>
      <w:r>
        <w:rPr>
          <w:rFonts w:hint="eastAsia"/>
        </w:rPr>
        <w:t>环境</w:t>
      </w:r>
      <w:r>
        <w:t>相对湿度</w:t>
      </w:r>
      <w:r>
        <w:rPr>
          <w:rFonts w:hint="eastAsia"/>
        </w:rPr>
        <w:t>：≤70%，环境气压：86kPa～106kPa;</w:t>
      </w:r>
    </w:p>
    <w:p>
      <w:r>
        <w:t xml:space="preserve">3) </w:t>
      </w:r>
      <w:r>
        <w:tab/>
      </w:r>
      <w:r>
        <w:t>水表在仓库里保存，应放在台架上，叠放高度不超过 5 层，贮存时间不应超过 6 个月，超过 6 个月的应重新进行性能检查。</w:t>
      </w:r>
    </w:p>
    <w:p/>
    <w:p>
      <w:pPr>
        <w:rPr>
          <w:rFonts w:hint="eastAsia"/>
          <w:b/>
          <w:bCs/>
          <w:sz w:val="21"/>
          <w:szCs w:val="21"/>
        </w:rPr>
      </w:pPr>
      <w:r>
        <w:rPr>
          <w:rFonts w:hint="eastAsia"/>
          <w:b/>
          <w:bCs/>
          <w:sz w:val="21"/>
          <w:szCs w:val="21"/>
        </w:rPr>
        <w:t>七、产品保证</w:t>
      </w:r>
    </w:p>
    <w:p>
      <w:r>
        <w:t>我公司</w:t>
      </w:r>
      <w:r>
        <w:rPr>
          <w:rFonts w:hint="eastAsia"/>
        </w:rPr>
        <w:t>无线远传冷水</w:t>
      </w:r>
      <w:r>
        <w:t>水表自售出日起一年内，凡安装合理，用户遵守说明书规定要求正常使用，确因制造质量引起的内部机件损坏或故障（冻坏除外），并确保制造厂铅封封帽完整且无人为损坏的情况下，制造厂给予修理或更换。</w:t>
      </w:r>
    </w:p>
    <w:p/>
    <w:p>
      <w:pPr>
        <w:rPr>
          <w:rFonts w:hint="eastAsia"/>
          <w:b/>
          <w:bCs/>
          <w:sz w:val="21"/>
          <w:szCs w:val="21"/>
        </w:rPr>
      </w:pPr>
      <w:r>
        <w:rPr>
          <w:rFonts w:hint="eastAsia"/>
          <w:b/>
          <w:bCs/>
          <w:sz w:val="21"/>
          <w:szCs w:val="21"/>
        </w:rPr>
        <w:t>八、声明</w:t>
      </w:r>
    </w:p>
    <w:p>
      <w:r>
        <w:rPr>
          <w:rFonts w:hint="eastAsia"/>
        </w:rPr>
        <w:t>使用前请仔细阅读本使用说明书。随同每只水表有管接头、螺母及橡胶密封圈各两件,说明书一份。</w:t>
      </w:r>
    </w:p>
    <w:p>
      <w:r>
        <w:rPr>
          <w:rFonts w:hint="eastAsia"/>
        </w:rPr>
        <w:t>本公司的使用说明书并无任何明确或隐含的保证，本公司有对使用说明书进行更改和修订的权利，</w:t>
      </w:r>
      <w:r>
        <w:t>产品型号规格及技术指标如有改动，厂家具有最终解释权</w:t>
      </w:r>
      <w:r>
        <w:rPr>
          <w:rFonts w:hint="eastAsia"/>
        </w:rPr>
        <w:t>，一切以实际产品为主。</w:t>
      </w:r>
    </w:p>
    <w:p/>
    <w:p/>
    <w:p/>
    <w:p/>
    <w:tbl>
      <w:tblPr>
        <w:tblStyle w:val="9"/>
        <w:tblW w:w="3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箱内物品</w:t>
            </w:r>
          </w:p>
        </w:tc>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数量</w:t>
            </w:r>
          </w:p>
        </w:tc>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单位</w:t>
            </w:r>
          </w:p>
        </w:tc>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 w:type="dxa"/>
          </w:tcPr>
          <w:p>
            <w:pPr>
              <w:tabs>
                <w:tab w:val="left" w:pos="2805"/>
              </w:tabs>
              <w:adjustRightInd w:val="0"/>
              <w:snapToGrid w:val="0"/>
              <w:jc w:val="both"/>
              <w:rPr>
                <w:rFonts w:hint="eastAsia" w:ascii="宋体" w:hAnsi="宋体"/>
                <w:b/>
                <w:szCs w:val="24"/>
                <w:vertAlign w:val="baseline"/>
                <w:lang w:eastAsia="zh-CN"/>
              </w:rPr>
            </w:pPr>
            <w:r>
              <w:rPr>
                <w:rFonts w:hint="eastAsia" w:ascii="宋体" w:hAnsi="宋体"/>
                <w:b/>
                <w:szCs w:val="24"/>
                <w:vertAlign w:val="baseline"/>
                <w:lang w:eastAsia="zh-CN"/>
              </w:rPr>
              <w:t>说明书</w:t>
            </w:r>
          </w:p>
        </w:tc>
        <w:tc>
          <w:tcPr>
            <w:tcW w:w="917" w:type="dxa"/>
          </w:tcPr>
          <w:p>
            <w:pPr>
              <w:tabs>
                <w:tab w:val="left" w:pos="2805"/>
              </w:tabs>
              <w:adjustRightInd w:val="0"/>
              <w:snapToGrid w:val="0"/>
              <w:jc w:val="both"/>
              <w:rPr>
                <w:rFonts w:hint="eastAsia" w:ascii="宋体" w:hAnsi="宋体" w:eastAsiaTheme="minorEastAsia"/>
                <w:b/>
                <w:szCs w:val="24"/>
                <w:vertAlign w:val="baseline"/>
                <w:lang w:val="en-US" w:eastAsia="zh-CN"/>
              </w:rPr>
            </w:pPr>
            <w:r>
              <w:rPr>
                <w:rFonts w:hint="eastAsia" w:ascii="宋体" w:hAnsi="宋体"/>
                <w:b/>
                <w:szCs w:val="24"/>
                <w:vertAlign w:val="baseline"/>
                <w:lang w:val="en-US" w:eastAsia="zh-CN"/>
              </w:rPr>
              <w:t>1</w:t>
            </w:r>
          </w:p>
        </w:tc>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份</w:t>
            </w:r>
          </w:p>
        </w:tc>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合格证</w:t>
            </w:r>
          </w:p>
        </w:tc>
        <w:tc>
          <w:tcPr>
            <w:tcW w:w="917" w:type="dxa"/>
          </w:tcPr>
          <w:p>
            <w:pPr>
              <w:tabs>
                <w:tab w:val="left" w:pos="2805"/>
              </w:tabs>
              <w:adjustRightInd w:val="0"/>
              <w:snapToGrid w:val="0"/>
              <w:jc w:val="both"/>
              <w:rPr>
                <w:rFonts w:hint="eastAsia" w:ascii="宋体" w:hAnsi="宋体" w:eastAsiaTheme="minorEastAsia"/>
                <w:b/>
                <w:szCs w:val="24"/>
                <w:vertAlign w:val="baseline"/>
                <w:lang w:val="en-US" w:eastAsia="zh-CN"/>
              </w:rPr>
            </w:pPr>
            <w:r>
              <w:rPr>
                <w:rFonts w:hint="eastAsia" w:ascii="宋体" w:hAnsi="宋体"/>
                <w:b/>
                <w:szCs w:val="24"/>
                <w:vertAlign w:val="baseline"/>
                <w:lang w:val="en-US" w:eastAsia="zh-CN"/>
              </w:rPr>
              <w:t>1</w:t>
            </w:r>
          </w:p>
        </w:tc>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张</w:t>
            </w:r>
          </w:p>
        </w:tc>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接管配件</w:t>
            </w:r>
          </w:p>
        </w:tc>
        <w:tc>
          <w:tcPr>
            <w:tcW w:w="917" w:type="dxa"/>
          </w:tcPr>
          <w:p>
            <w:pPr>
              <w:tabs>
                <w:tab w:val="left" w:pos="2805"/>
              </w:tabs>
              <w:adjustRightInd w:val="0"/>
              <w:snapToGrid w:val="0"/>
              <w:jc w:val="both"/>
              <w:rPr>
                <w:rFonts w:hint="eastAsia" w:ascii="宋体" w:hAnsi="宋体" w:eastAsiaTheme="minorEastAsia"/>
                <w:b/>
                <w:szCs w:val="24"/>
                <w:vertAlign w:val="baseline"/>
                <w:lang w:val="en-US" w:eastAsia="zh-CN"/>
              </w:rPr>
            </w:pPr>
            <w:r>
              <w:rPr>
                <w:rFonts w:hint="eastAsia" w:ascii="宋体" w:hAnsi="宋体"/>
                <w:b/>
                <w:szCs w:val="24"/>
                <w:vertAlign w:val="baseline"/>
              </w:rPr>
              <w:sym w:font="Wingdings" w:char="00A8"/>
            </w:r>
            <w:r>
              <w:rPr>
                <w:rFonts w:hint="eastAsia" w:ascii="宋体" w:hAnsi="宋体"/>
                <w:b/>
                <w:szCs w:val="24"/>
                <w:vertAlign w:val="baseline"/>
                <w:lang w:val="en-US" w:eastAsia="zh-CN"/>
              </w:rPr>
              <w:t xml:space="preserve"> 1  </w:t>
            </w:r>
            <w:r>
              <w:rPr>
                <w:rFonts w:hint="eastAsia" w:ascii="宋体" w:hAnsi="宋体"/>
                <w:b/>
                <w:szCs w:val="24"/>
                <w:vertAlign w:val="baseline"/>
                <w:lang w:val="en-US" w:eastAsia="zh-CN"/>
              </w:rPr>
              <w:sym w:font="Wingdings" w:char="00A8"/>
            </w:r>
            <w:r>
              <w:rPr>
                <w:rFonts w:hint="eastAsia" w:ascii="宋体" w:hAnsi="宋体"/>
                <w:b/>
                <w:szCs w:val="24"/>
                <w:vertAlign w:val="baseline"/>
                <w:lang w:val="en-US" w:eastAsia="zh-CN"/>
              </w:rPr>
              <w:t xml:space="preserve"> 0</w:t>
            </w:r>
          </w:p>
        </w:tc>
        <w:tc>
          <w:tcPr>
            <w:tcW w:w="917" w:type="dxa"/>
          </w:tcPr>
          <w:p>
            <w:pPr>
              <w:tabs>
                <w:tab w:val="left" w:pos="2805"/>
              </w:tabs>
              <w:adjustRightInd w:val="0"/>
              <w:snapToGrid w:val="0"/>
              <w:jc w:val="both"/>
              <w:rPr>
                <w:rFonts w:hint="eastAsia" w:ascii="宋体" w:hAnsi="宋体" w:eastAsiaTheme="minorEastAsia"/>
                <w:b/>
                <w:szCs w:val="24"/>
                <w:vertAlign w:val="baseline"/>
                <w:lang w:eastAsia="zh-CN"/>
              </w:rPr>
            </w:pPr>
            <w:r>
              <w:rPr>
                <w:rFonts w:hint="eastAsia" w:ascii="宋体" w:hAnsi="宋体"/>
                <w:b/>
                <w:szCs w:val="24"/>
                <w:vertAlign w:val="baseline"/>
                <w:lang w:eastAsia="zh-CN"/>
              </w:rPr>
              <w:t>套</w:t>
            </w:r>
          </w:p>
        </w:tc>
        <w:tc>
          <w:tcPr>
            <w:tcW w:w="917" w:type="dxa"/>
          </w:tcPr>
          <w:p>
            <w:pPr>
              <w:tabs>
                <w:tab w:val="left" w:pos="2805"/>
              </w:tabs>
              <w:adjustRightInd w:val="0"/>
              <w:snapToGrid w:val="0"/>
              <w:jc w:val="both"/>
              <w:rPr>
                <w:rFonts w:hint="eastAsia" w:ascii="宋体" w:hAnsi="宋体" w:eastAsiaTheme="minorEastAsia"/>
                <w:b/>
                <w:szCs w:val="24"/>
                <w:vertAlign w:val="baseline"/>
                <w:lang w:val="en-US" w:eastAsia="zh-CN"/>
              </w:rPr>
            </w:pPr>
            <w:r>
              <w:rPr>
                <w:rFonts w:hint="eastAsia" w:ascii="宋体" w:hAnsi="宋体"/>
                <w:b/>
                <w:szCs w:val="24"/>
                <w:vertAlign w:val="baseline"/>
                <w:lang w:eastAsia="zh-CN"/>
              </w:rPr>
              <w:t>选</w:t>
            </w:r>
            <w:r>
              <w:rPr>
                <w:rFonts w:hint="eastAsia" w:ascii="宋体" w:hAnsi="宋体"/>
                <w:b/>
                <w:szCs w:val="24"/>
                <w:vertAlign w:val="baseline"/>
                <w:lang w:val="en-US" w:eastAsia="zh-CN"/>
              </w:rPr>
              <w:t>配</w:t>
            </w:r>
          </w:p>
        </w:tc>
      </w:tr>
    </w:tbl>
    <w:p/>
    <w:p/>
    <w:p/>
    <w:p>
      <w:r>
        <w:rPr>
          <w:rFonts w:hint="eastAsia"/>
        </w:rPr>
        <w:t>地址：浙江省宁波市东钱湖旅游度假区耸翠路1号</w:t>
      </w:r>
    </w:p>
    <w:p>
      <w:r>
        <w:rPr>
          <w:rFonts w:hint="eastAsia"/>
        </w:rPr>
        <w:t>电话：0754 28869885</w:t>
      </w:r>
    </w:p>
    <w:p>
      <w:r>
        <w:rPr>
          <w:rFonts w:hint="eastAsia"/>
        </w:rPr>
        <w:t>传真：0574 28869878</w:t>
      </w:r>
    </w:p>
    <w:sectPr>
      <w:headerReference r:id="rId3" w:type="default"/>
      <w:footerReference r:id="rId4" w:type="default"/>
      <w:pgSz w:w="16838" w:h="11906" w:orient="landscape"/>
      <w:pgMar w:top="720" w:right="720" w:bottom="720" w:left="720" w:header="851" w:footer="992" w:gutter="0"/>
      <w:cols w:equalWidth="0" w:num="3">
        <w:col w:w="5089" w:space="425"/>
        <w:col w:w="4369" w:space="425"/>
        <w:col w:w="508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ckThinSmallGap" w:color="823B0B" w:themeColor="accent2" w:themeShade="7F" w:sz="24" w:space="1"/>
      </w:pBdr>
      <w:jc w:val="center"/>
      <w:rPr>
        <w:rFonts w:asciiTheme="majorHAnsi" w:hAnsiTheme="majorHAnsi" w:eastAsiaTheme="majorEastAsia" w:cstheme="majorBidi"/>
        <w:sz w:val="32"/>
        <w:szCs w:val="32"/>
      </w:rPr>
    </w:pPr>
    <w:r>
      <w:drawing>
        <wp:anchor distT="0" distB="0" distL="114300" distR="114300" simplePos="0" relativeHeight="251658240" behindDoc="0" locked="0" layoutInCell="1" allowOverlap="1">
          <wp:simplePos x="0" y="0"/>
          <wp:positionH relativeFrom="column">
            <wp:posOffset>-51435</wp:posOffset>
          </wp:positionH>
          <wp:positionV relativeFrom="paragraph">
            <wp:posOffset>-31750</wp:posOffset>
          </wp:positionV>
          <wp:extent cx="390525" cy="401955"/>
          <wp:effectExtent l="0" t="0" r="9525" b="17145"/>
          <wp:wrapTopAndBottom/>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390525" cy="401955"/>
                  </a:xfrm>
                  <a:prstGeom prst="rect">
                    <a:avLst/>
                  </a:prstGeom>
                  <a:noFill/>
                  <a:ln>
                    <a:noFill/>
                  </a:ln>
                </pic:spPr>
              </pic:pic>
            </a:graphicData>
          </a:graphic>
        </wp:anchor>
      </w:drawing>
    </w:r>
    <w:sdt>
      <w:sdtPr>
        <w:rPr>
          <w:rFonts w:asciiTheme="majorHAnsi" w:hAnsiTheme="majorHAnsi" w:eastAsiaTheme="majorEastAsia" w:cstheme="majorBidi"/>
          <w:sz w:val="32"/>
          <w:szCs w:val="32"/>
        </w:rPr>
        <w:alias w:val="标题"/>
        <w:id w:val="77738743"/>
        <w:placeholder>
          <w:docPart w:val="2412A8A33F5B4F3CA313B958A9852D04"/>
        </w:placeholder>
        <w15: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32"/>
          <w:szCs w:val="32"/>
        </w:rPr>
      </w:sdtEndPr>
      <w:sdtContent>
        <w:r>
          <w:rPr>
            <w:rFonts w:hint="eastAsia" w:asciiTheme="majorHAnsi" w:hAnsiTheme="majorHAnsi" w:eastAsiaTheme="majorEastAsia" w:cstheme="majorBidi"/>
            <w:sz w:val="32"/>
            <w:szCs w:val="32"/>
            <w:lang w:eastAsia="zh-CN"/>
          </w:rPr>
          <w:t>宁波泽联科技有限公司</w:t>
        </w:r>
      </w:sdtContent>
    </w:sdt>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472A4"/>
    <w:multiLevelType w:val="singleLevel"/>
    <w:tmpl w:val="547472A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88"/>
    <w:rsid w:val="00062A49"/>
    <w:rsid w:val="000A5217"/>
    <w:rsid w:val="000C00C4"/>
    <w:rsid w:val="000D17EF"/>
    <w:rsid w:val="00100634"/>
    <w:rsid w:val="001176C8"/>
    <w:rsid w:val="00137760"/>
    <w:rsid w:val="0016096F"/>
    <w:rsid w:val="001C5477"/>
    <w:rsid w:val="001D46BD"/>
    <w:rsid w:val="001F4DB5"/>
    <w:rsid w:val="00205E85"/>
    <w:rsid w:val="0024393D"/>
    <w:rsid w:val="002457C6"/>
    <w:rsid w:val="002B3AFF"/>
    <w:rsid w:val="002D19D7"/>
    <w:rsid w:val="00314E35"/>
    <w:rsid w:val="00363BA1"/>
    <w:rsid w:val="00393E6B"/>
    <w:rsid w:val="003E5FA5"/>
    <w:rsid w:val="00416061"/>
    <w:rsid w:val="004526D2"/>
    <w:rsid w:val="00485A93"/>
    <w:rsid w:val="004A70A2"/>
    <w:rsid w:val="004B68C5"/>
    <w:rsid w:val="004D76A7"/>
    <w:rsid w:val="004E6F48"/>
    <w:rsid w:val="00507D84"/>
    <w:rsid w:val="00524811"/>
    <w:rsid w:val="005349A3"/>
    <w:rsid w:val="005A2432"/>
    <w:rsid w:val="005B0C7D"/>
    <w:rsid w:val="005E7884"/>
    <w:rsid w:val="00631E37"/>
    <w:rsid w:val="00690DED"/>
    <w:rsid w:val="0069116E"/>
    <w:rsid w:val="006A76EF"/>
    <w:rsid w:val="006A7BAC"/>
    <w:rsid w:val="006C4C83"/>
    <w:rsid w:val="00701EA8"/>
    <w:rsid w:val="00765618"/>
    <w:rsid w:val="007658EC"/>
    <w:rsid w:val="007B36B4"/>
    <w:rsid w:val="007C4DD0"/>
    <w:rsid w:val="008657A8"/>
    <w:rsid w:val="0088341A"/>
    <w:rsid w:val="008D5535"/>
    <w:rsid w:val="0090290B"/>
    <w:rsid w:val="009540DD"/>
    <w:rsid w:val="00990EC9"/>
    <w:rsid w:val="009F03DF"/>
    <w:rsid w:val="00A67CD0"/>
    <w:rsid w:val="00AB1FC3"/>
    <w:rsid w:val="00AE4ED8"/>
    <w:rsid w:val="00AE6ED5"/>
    <w:rsid w:val="00B53429"/>
    <w:rsid w:val="00B75BA0"/>
    <w:rsid w:val="00BB219F"/>
    <w:rsid w:val="00BB437D"/>
    <w:rsid w:val="00BF2088"/>
    <w:rsid w:val="00BF70C1"/>
    <w:rsid w:val="00C4252B"/>
    <w:rsid w:val="00C500E4"/>
    <w:rsid w:val="00C77671"/>
    <w:rsid w:val="00D465F9"/>
    <w:rsid w:val="00D64C5A"/>
    <w:rsid w:val="00D922CE"/>
    <w:rsid w:val="00DC1628"/>
    <w:rsid w:val="00DE0A35"/>
    <w:rsid w:val="00DF15D7"/>
    <w:rsid w:val="00DF4DB4"/>
    <w:rsid w:val="00E351BC"/>
    <w:rsid w:val="00E93094"/>
    <w:rsid w:val="00F17BE0"/>
    <w:rsid w:val="00F87454"/>
    <w:rsid w:val="00FD7198"/>
    <w:rsid w:val="0A156008"/>
    <w:rsid w:val="0F793976"/>
    <w:rsid w:val="10047C2B"/>
    <w:rsid w:val="10417378"/>
    <w:rsid w:val="116E6D85"/>
    <w:rsid w:val="2EBF3CB3"/>
    <w:rsid w:val="33E7340A"/>
    <w:rsid w:val="37137C42"/>
    <w:rsid w:val="3CBE5E4E"/>
    <w:rsid w:val="454202D3"/>
    <w:rsid w:val="54671E2B"/>
    <w:rsid w:val="58623515"/>
    <w:rsid w:val="69706E83"/>
    <w:rsid w:val="6B534C8D"/>
    <w:rsid w:val="78C4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15"/>
      <w:szCs w:val="22"/>
      <w:lang w:val="en-US" w:eastAsia="zh-CN" w:bidi="ar-SA"/>
    </w:rPr>
  </w:style>
  <w:style w:type="paragraph" w:styleId="2">
    <w:name w:val="heading 1"/>
    <w:basedOn w:val="1"/>
    <w:next w:val="1"/>
    <w:link w:val="17"/>
    <w:qFormat/>
    <w:uiPriority w:val="9"/>
    <w:pPr>
      <w:keepNext/>
      <w:keepLines/>
      <w:spacing w:before="340" w:after="330" w:line="240" w:lineRule="auto"/>
      <w:outlineLvl w:val="0"/>
    </w:pPr>
    <w:rPr>
      <w:rFonts w:asciiTheme="majorAscii" w:hAnsiTheme="majorAscii" w:eastAsiaTheme="minorEastAsia"/>
      <w:b/>
      <w:bCs/>
      <w:kern w:val="44"/>
      <w:sz w:val="21"/>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link w:val="1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7">
    <w:name w:val="Title"/>
    <w:basedOn w:val="1"/>
    <w:next w:val="1"/>
    <w:link w:val="15"/>
    <w:qFormat/>
    <w:uiPriority w:val="10"/>
    <w:pPr>
      <w:spacing w:before="240" w:after="60"/>
      <w:jc w:val="center"/>
      <w:outlineLvl w:val="0"/>
    </w:pPr>
    <w:rPr>
      <w:rFonts w:eastAsia="宋体" w:asciiTheme="majorHAnsi" w:hAnsiTheme="majorHAnsi" w:cstheme="majorBidi"/>
      <w:b/>
      <w:bCs/>
      <w:sz w:val="44"/>
      <w:szCs w:val="32"/>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22"/>
    <w:rPr>
      <w:b/>
      <w:bCs/>
    </w:rPr>
  </w:style>
  <w:style w:type="paragraph" w:customStyle="1" w:styleId="12">
    <w:name w:val="引用1"/>
    <w:basedOn w:val="1"/>
    <w:next w:val="1"/>
    <w:link w:val="1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
    <w:name w:val="引用 Char"/>
    <w:basedOn w:val="10"/>
    <w:link w:val="12"/>
    <w:qFormat/>
    <w:uiPriority w:val="29"/>
    <w:rPr>
      <w:i/>
      <w:iCs/>
      <w:color w:val="404040" w:themeColor="text1" w:themeTint="BF"/>
      <w14:textFill>
        <w14:solidFill>
          <w14:schemeClr w14:val="tx1">
            <w14:lumMod w14:val="75000"/>
            <w14:lumOff w14:val="25000"/>
          </w14:schemeClr>
        </w14:solidFill>
      </w14:textFill>
    </w:rPr>
  </w:style>
  <w:style w:type="character" w:customStyle="1" w:styleId="14">
    <w:name w:val="批注框文本 Char"/>
    <w:basedOn w:val="10"/>
    <w:link w:val="3"/>
    <w:semiHidden/>
    <w:qFormat/>
    <w:uiPriority w:val="99"/>
    <w:rPr>
      <w:kern w:val="2"/>
      <w:sz w:val="18"/>
      <w:szCs w:val="18"/>
    </w:rPr>
  </w:style>
  <w:style w:type="character" w:customStyle="1" w:styleId="15">
    <w:name w:val="标题 Char"/>
    <w:basedOn w:val="10"/>
    <w:link w:val="7"/>
    <w:qFormat/>
    <w:uiPriority w:val="10"/>
    <w:rPr>
      <w:rFonts w:eastAsia="宋体" w:asciiTheme="majorHAnsi" w:hAnsiTheme="majorHAnsi" w:cstheme="majorBidi"/>
      <w:b/>
      <w:bCs/>
      <w:kern w:val="2"/>
      <w:sz w:val="44"/>
      <w:szCs w:val="32"/>
    </w:rPr>
  </w:style>
  <w:style w:type="paragraph" w:styleId="16">
    <w:name w:val="List Paragraph"/>
    <w:basedOn w:val="1"/>
    <w:unhideWhenUsed/>
    <w:qFormat/>
    <w:uiPriority w:val="0"/>
    <w:pPr>
      <w:ind w:firstLine="420" w:firstLineChars="200"/>
    </w:pPr>
  </w:style>
  <w:style w:type="character" w:customStyle="1" w:styleId="17">
    <w:name w:val="标题 1 Char"/>
    <w:basedOn w:val="10"/>
    <w:link w:val="2"/>
    <w:qFormat/>
    <w:uiPriority w:val="9"/>
    <w:rPr>
      <w:rFonts w:asciiTheme="majorAscii" w:hAnsiTheme="majorAscii" w:eastAsiaTheme="minorEastAsia"/>
      <w:b/>
      <w:bCs/>
      <w:kern w:val="44"/>
      <w:sz w:val="21"/>
      <w:szCs w:val="44"/>
    </w:rPr>
  </w:style>
  <w:style w:type="character" w:customStyle="1" w:styleId="18">
    <w:name w:val="页眉 Char"/>
    <w:basedOn w:val="10"/>
    <w:link w:val="5"/>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12A8A33F5B4F3CA313B958A9852D04"/>
        <w:style w:val=""/>
        <w:category>
          <w:name w:val="常规"/>
          <w:gallery w:val="placeholder"/>
        </w:category>
        <w:types>
          <w:type w:val="bbPlcHdr"/>
        </w:types>
        <w:behaviors>
          <w:behavior w:val="content"/>
        </w:behaviors>
        <w:description w:val=""/>
        <w:guid w:val="{69A29681-954F-4632-AADA-1C9DA1086260}"/>
      </w:docPartPr>
      <w:docPartBody>
        <w:p>
          <w:pPr>
            <w:pStyle w:val="4"/>
          </w:pPr>
          <w:r>
            <w:rPr>
              <w:rFonts w:asciiTheme="majorHAnsi" w:hAnsiTheme="majorHAnsi" w:eastAsiaTheme="majorEastAsia" w:cstheme="majorBidi"/>
              <w:sz w:val="32"/>
              <w:szCs w:val="32"/>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6B"/>
    <w:rsid w:val="001C79A3"/>
    <w:rsid w:val="00574810"/>
    <w:rsid w:val="00AB0A49"/>
    <w:rsid w:val="00D656BC"/>
    <w:rsid w:val="00D9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2412A8A33F5B4F3CA313B958A9852D04"/>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8DECD-FE0B-47E0-9F0D-C8BB12C495E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418</Words>
  <Characters>2386</Characters>
  <Lines>19</Lines>
  <Paragraphs>5</Paragraphs>
  <TotalTime>0</TotalTime>
  <ScaleCrop>false</ScaleCrop>
  <LinksUpToDate>false</LinksUpToDate>
  <CharactersWithSpaces>2799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2017-10-26T05:29:00Z</dcterms:created>
  <dc:creator>Administrator</dc:creator>
  <cp:lastModifiedBy>hnr</cp:lastModifiedBy>
  <dcterms:modified xsi:type="dcterms:W3CDTF">2019-05-08T07:02:08Z</dcterms:modified>
  <dc:title>宁波泽联科技有限公司</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